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906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keepNext/>
        <w:keepLines/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(62830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ХМАО- 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 Романа Владимировича, </w:t>
      </w:r>
      <w:r>
        <w:rPr>
          <w:rStyle w:val="cat-ExternalSystem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регистрации не имеющего, проживающего по адресу: </w:t>
      </w:r>
      <w:r>
        <w:rPr>
          <w:rStyle w:val="cat-UserDefinedgrp-2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2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ч. 3 ст. 19.24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keepNext/>
        <w:keepLines/>
        <w:widowControl w:val="0"/>
        <w:spacing w:before="0" w:after="65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60"/>
          <w:sz w:val="26"/>
          <w:szCs w:val="26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Скидан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проживающий по адресу: </w:t>
      </w:r>
      <w:r>
        <w:rPr>
          <w:rStyle w:val="cat-User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которого 05.05.2023 решением Сургутского городского суда ХМАО-Югры установлен административный надзор, а также решением Нефтеюганского районного суда от 06.03.2024 установлены дополнительные ограничения, одним из установленных ограничений является обязательная явка 4 раза в месяц согласно графика прибытия в ОМВД России по г. Нефтеюганску. Согласно графика прибытия Скидан Р.В. обязан являться на регистрацию в 1,2,3,4 вторник каждого месяца.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.07.2024 года Скидан Р.В., на регистрацию в </w:t>
      </w:r>
      <w:r>
        <w:rPr>
          <w:rFonts w:ascii="Times New Roman" w:eastAsia="Times New Roman" w:hAnsi="Times New Roman" w:cs="Times New Roman"/>
          <w:sz w:val="26"/>
          <w:szCs w:val="26"/>
        </w:rPr>
        <w:t>ОМВД России по г. Нефтеюганску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повторное в течение одного года административное правонарушение, предусмотренное ч. 1 ст. 19.24 КоАП РФ. Данное бездействие не содержит уголовно наказуемого деяния.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 факт совершения им данного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II группы не является.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выслушав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>, с протоколом ознакомлен, согласен, права, предусмотренные ст. 25.1 КоАП РФ и ст. 51 Конституции РФ разъяснены.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того, обстоятельства, изложенные в протоколе об административном правонарушении, подтверждаются: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УУП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.07.2024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 ГОАН ОУУП и по ДН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предупреждением;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регистрационным листом поднадзорного лица;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графиком прибытия поднадзорного лица на регистрацию;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заключением о заведении дела административного надзора;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заявлением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месте его проживания;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 Сургутского городского суда ХМАО-Югры от 05.05.2023, согласно которому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вный надзор сроком на три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решения Нефтеюганского районного суда ХМАО-Югры от 06.03.2024, согласно которому в отношении Скидан Р.В. установлены дополнительные ограничения в виде обязательной регистрации 4 раза в месяц в ОВД по месту жительства;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№ </w:t>
      </w:r>
      <w:r>
        <w:rPr>
          <w:rStyle w:val="cat-UserDefinedgrp-28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Скидан Р.В.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привлечен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ответственности по ч. 1 ст. 19.24 КоАП РФ,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.2023;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справкой на физическое лицо.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Скидан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характеризующий материал, его имущественное положение.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учётом изложенного, руководствуясь ст.ст. 29.9 ч.1,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72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Скидан Романа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сорок</w:t>
      </w:r>
      <w:r>
        <w:rPr>
          <w:rFonts w:ascii="Times New Roman" w:eastAsia="Times New Roman" w:hAnsi="Times New Roman" w:cs="Times New Roman"/>
          <w:sz w:val="27"/>
          <w:szCs w:val="27"/>
        </w:rPr>
        <w:t>) часов.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5rplc-14">
    <w:name w:val="cat-ExternalSystemDefined grp-25 rplc-14"/>
    <w:basedOn w:val="DefaultParagraphFont"/>
  </w:style>
  <w:style w:type="character" w:customStyle="1" w:styleId="cat-ExternalSystemDefinedgrp-23rplc-15">
    <w:name w:val="cat-ExternalSystemDefined grp-23 rplc-15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42">
    <w:name w:val="cat-UserDefined grp-28 rplc-42"/>
    <w:basedOn w:val="DefaultParagraphFont"/>
  </w:style>
  <w:style w:type="character" w:customStyle="1" w:styleId="cat-UserDefinedgrp-29rplc-51">
    <w:name w:val="cat-UserDefined grp-29 rplc-51"/>
    <w:basedOn w:val="DefaultParagraphFont"/>
  </w:style>
  <w:style w:type="character" w:customStyle="1" w:styleId="cat-UserDefinedgrp-30rplc-54">
    <w:name w:val="cat-UserDefined grp-3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